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20FB" w14:textId="77777777" w:rsidR="00084E72" w:rsidRPr="00174707" w:rsidRDefault="00084E72" w:rsidP="00166F71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174707">
        <w:rPr>
          <w:rFonts w:ascii="Arial" w:hAnsi="Arial" w:cs="Arial"/>
          <w:szCs w:val="24"/>
        </w:rPr>
        <w:t>PROJEKT</w:t>
      </w:r>
    </w:p>
    <w:p w14:paraId="620339A3" w14:textId="77777777" w:rsidR="00084E72" w:rsidRPr="00174707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30C7172E" w14:textId="77777777" w:rsidR="00084E72" w:rsidRPr="00174707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174707">
        <w:rPr>
          <w:rFonts w:ascii="Arial" w:hAnsi="Arial" w:cs="Arial"/>
          <w:b w:val="0"/>
          <w:bCs/>
          <w:szCs w:val="24"/>
        </w:rPr>
        <w:t>USTAWA</w:t>
      </w:r>
    </w:p>
    <w:p w14:paraId="60D107F1" w14:textId="27EDB9E3" w:rsidR="00084E72" w:rsidRPr="00174707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174707">
        <w:rPr>
          <w:rFonts w:ascii="Arial" w:hAnsi="Arial" w:cs="Arial"/>
          <w:b w:val="0"/>
          <w:bCs/>
          <w:szCs w:val="24"/>
        </w:rPr>
        <w:t xml:space="preserve">z </w:t>
      </w:r>
      <w:r w:rsidR="00E375BE" w:rsidRPr="00174707">
        <w:rPr>
          <w:rFonts w:ascii="Arial" w:hAnsi="Arial" w:cs="Arial"/>
          <w:b w:val="0"/>
          <w:bCs/>
          <w:szCs w:val="24"/>
        </w:rPr>
        <w:t>dnia                         202</w:t>
      </w:r>
      <w:r w:rsidR="00174707" w:rsidRPr="00174707">
        <w:rPr>
          <w:rFonts w:ascii="Arial" w:hAnsi="Arial" w:cs="Arial"/>
          <w:b w:val="0"/>
          <w:bCs/>
          <w:szCs w:val="24"/>
        </w:rPr>
        <w:t>4</w:t>
      </w:r>
      <w:r w:rsidRPr="00174707">
        <w:rPr>
          <w:rFonts w:ascii="Arial" w:hAnsi="Arial" w:cs="Arial"/>
          <w:b w:val="0"/>
          <w:bCs/>
          <w:szCs w:val="24"/>
        </w:rPr>
        <w:t xml:space="preserve"> r.</w:t>
      </w:r>
    </w:p>
    <w:p w14:paraId="4E2A8649" w14:textId="1C4BB416" w:rsidR="003940AD" w:rsidRPr="00174707" w:rsidRDefault="00084E72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  <w:r w:rsidRPr="00174707">
        <w:rPr>
          <w:rFonts w:ascii="Arial" w:hAnsi="Arial" w:cs="Arial"/>
          <w:color w:val="auto"/>
          <w:lang w:val="pl-PL"/>
        </w:rPr>
        <w:t xml:space="preserve">o zmianie </w:t>
      </w:r>
      <w:r w:rsidR="00DB66CC" w:rsidRPr="00174707">
        <w:rPr>
          <w:rFonts w:ascii="Arial" w:hAnsi="Arial" w:cs="Arial"/>
          <w:color w:val="auto"/>
          <w:lang w:val="pl-PL"/>
        </w:rPr>
        <w:t xml:space="preserve">ustawy </w:t>
      </w:r>
      <w:r w:rsidR="00715157" w:rsidRPr="00174707">
        <w:rPr>
          <w:rFonts w:ascii="Arial" w:hAnsi="Arial" w:cs="Arial"/>
          <w:color w:val="auto"/>
          <w:lang w:val="pl-PL"/>
        </w:rPr>
        <w:t>o Państwowej Inspekcji Pracy oraz ustawy</w:t>
      </w:r>
      <w:r w:rsidR="00881143">
        <w:rPr>
          <w:rFonts w:ascii="Arial" w:hAnsi="Arial" w:cs="Arial"/>
          <w:color w:val="auto"/>
          <w:lang w:val="pl-PL"/>
        </w:rPr>
        <w:t xml:space="preserve"> – </w:t>
      </w:r>
      <w:r w:rsidR="006A23F3" w:rsidRPr="00174707">
        <w:rPr>
          <w:rFonts w:ascii="Arial" w:hAnsi="Arial" w:cs="Arial"/>
          <w:color w:val="auto"/>
          <w:lang w:val="pl-PL"/>
        </w:rPr>
        <w:t>Prawo przedsiębiorców</w:t>
      </w:r>
    </w:p>
    <w:p w14:paraId="506E8146" w14:textId="77777777" w:rsidR="003940AD" w:rsidRPr="00174707" w:rsidRDefault="003940AD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3A6243B4" w14:textId="77777777" w:rsidR="007320AD" w:rsidRPr="00174707" w:rsidRDefault="007320AD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66CC3218" w14:textId="77777777" w:rsidR="003940AD" w:rsidRPr="00174707" w:rsidRDefault="003940AD" w:rsidP="006A23F3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42AABD87" w14:textId="54DF6A4A" w:rsidR="00715157" w:rsidRPr="00174707" w:rsidRDefault="00715157" w:rsidP="006A23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b/>
          <w:sz w:val="24"/>
          <w:szCs w:val="24"/>
        </w:rPr>
        <w:t xml:space="preserve">Art. 1. </w:t>
      </w:r>
      <w:r w:rsidRPr="00174707">
        <w:rPr>
          <w:rFonts w:ascii="Arial" w:hAnsi="Arial" w:cs="Arial"/>
          <w:sz w:val="24"/>
          <w:szCs w:val="24"/>
        </w:rPr>
        <w:t xml:space="preserve">W ustawie z dnia 13 kwietnia 2007 r. o Państwowej Inspekcji Pracy (Dz. U. z 2022 r. poz.1614 oraz z 2023 r. poz. 1523) w art. 24 </w:t>
      </w:r>
      <w:r w:rsidR="00881143">
        <w:rPr>
          <w:rFonts w:ascii="Arial" w:hAnsi="Arial" w:cs="Arial"/>
          <w:sz w:val="24"/>
          <w:szCs w:val="24"/>
        </w:rPr>
        <w:t>uchyla</w:t>
      </w:r>
      <w:r w:rsidRPr="00174707">
        <w:rPr>
          <w:rFonts w:ascii="Arial" w:hAnsi="Arial" w:cs="Arial"/>
          <w:sz w:val="24"/>
          <w:szCs w:val="24"/>
        </w:rPr>
        <w:t xml:space="preserve"> się ust. 3–7.</w:t>
      </w:r>
    </w:p>
    <w:p w14:paraId="2B35B2B8" w14:textId="77777777" w:rsidR="006A23F3" w:rsidRPr="00174707" w:rsidRDefault="006A23F3" w:rsidP="006A23F3">
      <w:pPr>
        <w:pStyle w:val="Default"/>
        <w:spacing w:after="120" w:line="360" w:lineRule="auto"/>
        <w:jc w:val="both"/>
        <w:rPr>
          <w:rFonts w:ascii="Arial" w:hAnsi="Arial" w:cs="Arial"/>
          <w:b/>
          <w:color w:val="auto"/>
          <w:lang w:val="pl-PL"/>
        </w:rPr>
      </w:pPr>
    </w:p>
    <w:p w14:paraId="46160C0B" w14:textId="0E354FC0" w:rsidR="00BE7D5E" w:rsidRPr="00174707" w:rsidRDefault="006A23F3" w:rsidP="006A23F3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174707">
        <w:rPr>
          <w:rFonts w:ascii="Arial" w:hAnsi="Arial" w:cs="Arial"/>
          <w:b/>
          <w:color w:val="auto"/>
          <w:lang w:val="pl-PL"/>
        </w:rPr>
        <w:t>Art. 2.</w:t>
      </w:r>
      <w:r w:rsidRPr="00174707">
        <w:rPr>
          <w:rFonts w:ascii="Arial" w:hAnsi="Arial" w:cs="Arial"/>
          <w:color w:val="auto"/>
          <w:lang w:val="pl-PL"/>
        </w:rPr>
        <w:t xml:space="preserve"> </w:t>
      </w:r>
      <w:r w:rsidR="00DB66CC" w:rsidRPr="00174707">
        <w:rPr>
          <w:rFonts w:ascii="Arial" w:hAnsi="Arial" w:cs="Arial"/>
          <w:color w:val="auto"/>
          <w:lang w:val="pl-PL"/>
        </w:rPr>
        <w:t xml:space="preserve">W ustawie z </w:t>
      </w:r>
      <w:r w:rsidRPr="00174707">
        <w:rPr>
          <w:rFonts w:ascii="Arial" w:hAnsi="Arial" w:cs="Arial"/>
          <w:color w:val="auto"/>
          <w:lang w:val="pl-PL"/>
        </w:rPr>
        <w:t xml:space="preserve">dnia 6 marca 2018 r. </w:t>
      </w:r>
      <w:r w:rsidR="00881143">
        <w:rPr>
          <w:rFonts w:ascii="Arial" w:hAnsi="Arial" w:cs="Arial"/>
          <w:color w:val="auto"/>
          <w:lang w:val="pl-PL"/>
        </w:rPr>
        <w:t>–</w:t>
      </w:r>
      <w:r w:rsidR="00881143">
        <w:rPr>
          <w:rFonts w:ascii="Arial" w:hAnsi="Arial" w:cs="Arial"/>
          <w:color w:val="auto"/>
          <w:lang w:val="pl-PL"/>
        </w:rPr>
        <w:t xml:space="preserve"> </w:t>
      </w:r>
      <w:r w:rsidRPr="00174707">
        <w:rPr>
          <w:rFonts w:ascii="Arial" w:hAnsi="Arial" w:cs="Arial"/>
          <w:color w:val="auto"/>
          <w:lang w:val="pl-PL"/>
        </w:rPr>
        <w:t xml:space="preserve">Prawo przedsiębiorców </w:t>
      </w:r>
      <w:r w:rsidR="00881143">
        <w:rPr>
          <w:rFonts w:ascii="Arial" w:hAnsi="Arial" w:cs="Arial"/>
          <w:color w:val="auto"/>
          <w:lang w:val="pl-PL"/>
        </w:rPr>
        <w:t xml:space="preserve">(Dz. U. z 2024 r. poz. 236) </w:t>
      </w:r>
      <w:r w:rsidRPr="00174707">
        <w:rPr>
          <w:rFonts w:ascii="Arial" w:hAnsi="Arial" w:cs="Arial"/>
          <w:color w:val="auto"/>
          <w:lang w:val="pl-PL"/>
        </w:rPr>
        <w:t>w</w:t>
      </w:r>
      <w:r w:rsidR="00715157" w:rsidRPr="00174707">
        <w:rPr>
          <w:rFonts w:ascii="Arial" w:hAnsi="Arial" w:cs="Arial"/>
          <w:color w:val="auto"/>
          <w:lang w:val="pl-PL"/>
        </w:rPr>
        <w:t xml:space="preserve"> art. 65 </w:t>
      </w:r>
      <w:r w:rsidRPr="00174707">
        <w:rPr>
          <w:rFonts w:ascii="Arial" w:hAnsi="Arial" w:cs="Arial"/>
          <w:color w:val="auto"/>
          <w:lang w:val="pl-PL"/>
        </w:rPr>
        <w:t xml:space="preserve">w pkt 3 kropkę zastępuje się </w:t>
      </w:r>
      <w:r w:rsidR="00881143">
        <w:rPr>
          <w:rFonts w:ascii="Arial" w:hAnsi="Arial" w:cs="Arial"/>
          <w:color w:val="auto"/>
          <w:lang w:val="pl-PL"/>
        </w:rPr>
        <w:t>średnikiem</w:t>
      </w:r>
      <w:r w:rsidRPr="00174707">
        <w:rPr>
          <w:rFonts w:ascii="Arial" w:hAnsi="Arial" w:cs="Arial"/>
          <w:color w:val="auto"/>
          <w:lang w:val="pl-PL"/>
        </w:rPr>
        <w:t xml:space="preserve"> i </w:t>
      </w:r>
      <w:r w:rsidR="00715157" w:rsidRPr="00174707">
        <w:rPr>
          <w:rFonts w:ascii="Arial" w:hAnsi="Arial" w:cs="Arial"/>
          <w:color w:val="auto"/>
          <w:lang w:val="pl-PL"/>
        </w:rPr>
        <w:t>dodaje się pkt 4 w brzmieniu:</w:t>
      </w:r>
    </w:p>
    <w:p w14:paraId="56D8DB9C" w14:textId="77777777" w:rsidR="00715157" w:rsidRPr="00174707" w:rsidRDefault="00715157" w:rsidP="006A23F3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174707">
        <w:rPr>
          <w:rFonts w:ascii="Arial" w:hAnsi="Arial" w:cs="Arial"/>
          <w:color w:val="auto"/>
          <w:lang w:val="pl-PL"/>
        </w:rPr>
        <w:t>„4) prowadzonej na podstawie ustawy z dnia 13 kwietnia 2007 r. o Państwowej Inspekcji Pracy (Dz. U. z 2022 r. poz.1614 oraz z 2023 r. poz. 1523).</w:t>
      </w:r>
      <w:r w:rsidR="0035213C" w:rsidRPr="00174707">
        <w:rPr>
          <w:rFonts w:ascii="Arial" w:hAnsi="Arial" w:cs="Arial"/>
          <w:color w:val="auto"/>
          <w:lang w:val="pl-PL"/>
        </w:rPr>
        <w:t>”.</w:t>
      </w:r>
    </w:p>
    <w:p w14:paraId="586DD2CD" w14:textId="77777777" w:rsidR="00D6670A" w:rsidRPr="00174707" w:rsidRDefault="00D6670A" w:rsidP="006A23F3">
      <w:pPr>
        <w:pStyle w:val="Default"/>
        <w:spacing w:after="120" w:line="360" w:lineRule="auto"/>
        <w:jc w:val="both"/>
        <w:rPr>
          <w:rFonts w:ascii="Arial" w:hAnsi="Arial" w:cs="Arial"/>
          <w:color w:val="auto"/>
          <w:shd w:val="clear" w:color="auto" w:fill="FFFFFF"/>
          <w:lang w:val="pl-PL"/>
        </w:rPr>
      </w:pPr>
    </w:p>
    <w:p w14:paraId="083CE83B" w14:textId="77777777" w:rsidR="00715157" w:rsidRPr="00174707" w:rsidRDefault="00715157" w:rsidP="006A23F3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174707">
        <w:rPr>
          <w:rFonts w:ascii="Arial" w:hAnsi="Arial" w:cs="Arial"/>
          <w:b/>
          <w:bCs/>
          <w:color w:val="auto"/>
          <w:lang w:val="pl-PL"/>
        </w:rPr>
        <w:t>A</w:t>
      </w:r>
      <w:r w:rsidR="00925FF6" w:rsidRPr="00174707">
        <w:rPr>
          <w:rFonts w:ascii="Arial" w:hAnsi="Arial" w:cs="Arial"/>
          <w:b/>
          <w:bCs/>
          <w:color w:val="auto"/>
          <w:lang w:val="pl-PL"/>
        </w:rPr>
        <w:t>rt. 3</w:t>
      </w:r>
      <w:r w:rsidRPr="00174707">
        <w:rPr>
          <w:rFonts w:ascii="Arial" w:hAnsi="Arial" w:cs="Arial"/>
          <w:b/>
          <w:bCs/>
          <w:color w:val="auto"/>
          <w:lang w:val="pl-PL"/>
        </w:rPr>
        <w:t>.</w:t>
      </w:r>
      <w:r w:rsidRPr="00174707">
        <w:rPr>
          <w:rFonts w:ascii="Arial" w:hAnsi="Arial" w:cs="Arial"/>
          <w:color w:val="auto"/>
          <w:lang w:val="pl-PL"/>
        </w:rPr>
        <w:t xml:space="preserve"> Ustawa wchodzi w życie po upływie 14 dni od dnia ogłoszenia</w:t>
      </w:r>
      <w:r w:rsidR="0035213C" w:rsidRPr="00174707">
        <w:rPr>
          <w:rFonts w:ascii="Arial" w:hAnsi="Arial" w:cs="Arial"/>
          <w:color w:val="auto"/>
          <w:lang w:val="pl-PL"/>
        </w:rPr>
        <w:t>.</w:t>
      </w:r>
    </w:p>
    <w:p w14:paraId="23A5C62C" w14:textId="77777777" w:rsidR="00ED442C" w:rsidRPr="00174707" w:rsidRDefault="00ED442C" w:rsidP="006A23F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9B05C4E" w14:textId="77777777" w:rsidR="00056E2D" w:rsidRPr="00174707" w:rsidRDefault="00056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br w:type="page"/>
      </w:r>
    </w:p>
    <w:p w14:paraId="6DD1D966" w14:textId="77777777" w:rsidR="00AC4D9F" w:rsidRPr="00174707" w:rsidRDefault="007B325D" w:rsidP="008E78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lastRenderedPageBreak/>
        <w:t>UZASADNIENIE</w:t>
      </w:r>
    </w:p>
    <w:p w14:paraId="268E1FAF" w14:textId="77777777" w:rsidR="008E4F8B" w:rsidRPr="00174707" w:rsidRDefault="008E4F8B" w:rsidP="008E78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5623958" w14:textId="77777777" w:rsidR="00AC4D9F" w:rsidRPr="00174707" w:rsidRDefault="00AC4D9F" w:rsidP="008E7897">
      <w:pPr>
        <w:spacing w:after="120" w:line="360" w:lineRule="auto"/>
        <w:rPr>
          <w:rStyle w:val="Ppogrubienie"/>
          <w:rFonts w:ascii="Arial" w:hAnsi="Arial" w:cs="Arial"/>
          <w:sz w:val="24"/>
          <w:szCs w:val="24"/>
        </w:rPr>
      </w:pPr>
      <w:r w:rsidRPr="00174707">
        <w:rPr>
          <w:rStyle w:val="Ppogrubienie"/>
          <w:rFonts w:ascii="Arial" w:hAnsi="Arial" w:cs="Arial"/>
          <w:sz w:val="24"/>
          <w:szCs w:val="24"/>
        </w:rPr>
        <w:t>1.</w:t>
      </w:r>
      <w:r w:rsidRPr="00174707">
        <w:rPr>
          <w:rStyle w:val="Ppogrubienie"/>
          <w:rFonts w:ascii="Arial" w:hAnsi="Arial" w:cs="Arial"/>
          <w:sz w:val="24"/>
          <w:szCs w:val="24"/>
        </w:rPr>
        <w:tab/>
        <w:t>Potrzeba i cel uchwalenia ustawy</w:t>
      </w:r>
    </w:p>
    <w:p w14:paraId="143EA45C" w14:textId="5450A318" w:rsidR="000345E4" w:rsidRPr="00174707" w:rsidRDefault="00993AAA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t>Projektowana ustawa jest reakcją Komisji do Spraw Petycji</w:t>
      </w:r>
      <w:r w:rsidR="00471182" w:rsidRPr="00174707">
        <w:rPr>
          <w:rFonts w:ascii="Arial" w:hAnsi="Arial" w:cs="Arial"/>
          <w:sz w:val="24"/>
          <w:szCs w:val="24"/>
        </w:rPr>
        <w:t xml:space="preserve"> Sejmu RP</w:t>
      </w:r>
      <w:r w:rsidRPr="00174707">
        <w:rPr>
          <w:rFonts w:ascii="Arial" w:hAnsi="Arial" w:cs="Arial"/>
          <w:sz w:val="24"/>
          <w:szCs w:val="24"/>
        </w:rPr>
        <w:t xml:space="preserve"> </w:t>
      </w:r>
      <w:r w:rsidR="00A2452F" w:rsidRPr="00174707">
        <w:rPr>
          <w:rFonts w:ascii="Arial" w:hAnsi="Arial" w:cs="Arial"/>
          <w:sz w:val="24"/>
          <w:szCs w:val="24"/>
        </w:rPr>
        <w:t xml:space="preserve">IX Kadencji </w:t>
      </w:r>
      <w:r w:rsidRPr="00174707">
        <w:rPr>
          <w:rFonts w:ascii="Arial" w:hAnsi="Arial" w:cs="Arial"/>
          <w:sz w:val="24"/>
          <w:szCs w:val="24"/>
        </w:rPr>
        <w:t>na petycj</w:t>
      </w:r>
      <w:r w:rsidR="00056E2D" w:rsidRPr="00174707">
        <w:rPr>
          <w:rFonts w:ascii="Arial" w:hAnsi="Arial" w:cs="Arial"/>
          <w:sz w:val="24"/>
          <w:szCs w:val="24"/>
        </w:rPr>
        <w:t xml:space="preserve">ę </w:t>
      </w:r>
      <w:r w:rsidR="0076233B" w:rsidRPr="00174707">
        <w:rPr>
          <w:rFonts w:ascii="Arial" w:hAnsi="Arial" w:cs="Arial"/>
          <w:sz w:val="24"/>
          <w:szCs w:val="24"/>
        </w:rPr>
        <w:t>Nr</w:t>
      </w:r>
      <w:r w:rsidR="00A239A6" w:rsidRPr="00174707">
        <w:rPr>
          <w:rFonts w:ascii="Arial" w:hAnsi="Arial" w:cs="Arial"/>
          <w:sz w:val="24"/>
          <w:szCs w:val="24"/>
        </w:rPr>
        <w:t xml:space="preserve"> BKSP-144-IX-626/22</w:t>
      </w:r>
      <w:r w:rsidR="00076FAF" w:rsidRPr="0017470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6233B" w:rsidRPr="001747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74707">
        <w:rPr>
          <w:rFonts w:ascii="Arial" w:hAnsi="Arial" w:cs="Arial"/>
          <w:sz w:val="24"/>
          <w:szCs w:val="24"/>
        </w:rPr>
        <w:t>skierowan</w:t>
      </w:r>
      <w:r w:rsidR="00076FAF" w:rsidRPr="00174707">
        <w:rPr>
          <w:rFonts w:ascii="Arial" w:hAnsi="Arial" w:cs="Arial"/>
          <w:sz w:val="24"/>
          <w:szCs w:val="24"/>
        </w:rPr>
        <w:t>ą</w:t>
      </w:r>
      <w:r w:rsidRPr="00174707">
        <w:rPr>
          <w:rFonts w:ascii="Arial" w:hAnsi="Arial" w:cs="Arial"/>
          <w:sz w:val="24"/>
          <w:szCs w:val="24"/>
        </w:rPr>
        <w:t xml:space="preserve"> do Sejmu RP</w:t>
      </w:r>
      <w:r w:rsidR="006C17D7" w:rsidRPr="00174707">
        <w:rPr>
          <w:rFonts w:ascii="Arial" w:hAnsi="Arial" w:cs="Arial"/>
          <w:sz w:val="24"/>
          <w:szCs w:val="24"/>
        </w:rPr>
        <w:t xml:space="preserve"> </w:t>
      </w:r>
      <w:r w:rsidR="00F50C4F" w:rsidRPr="00174707">
        <w:rPr>
          <w:rFonts w:ascii="Arial" w:hAnsi="Arial" w:cs="Arial"/>
          <w:sz w:val="24"/>
          <w:szCs w:val="24"/>
        </w:rPr>
        <w:t xml:space="preserve">przez </w:t>
      </w:r>
      <w:r w:rsidR="00A239A6" w:rsidRPr="00174707">
        <w:rPr>
          <w:rFonts w:ascii="Arial" w:hAnsi="Arial" w:cs="Arial"/>
          <w:sz w:val="24"/>
          <w:szCs w:val="24"/>
        </w:rPr>
        <w:t>Stowarzyszenie Inspektorów Pracy Rzeczypospolitej</w:t>
      </w:r>
      <w:r w:rsidR="00174707" w:rsidRPr="00174707">
        <w:rPr>
          <w:rFonts w:ascii="Arial" w:hAnsi="Arial" w:cs="Arial"/>
          <w:sz w:val="24"/>
          <w:szCs w:val="24"/>
        </w:rPr>
        <w:t xml:space="preserve"> Polskiej</w:t>
      </w:r>
      <w:r w:rsidR="00B857D3" w:rsidRPr="00174707">
        <w:rPr>
          <w:rFonts w:ascii="Arial" w:hAnsi="Arial" w:cs="Arial"/>
          <w:sz w:val="24"/>
          <w:szCs w:val="24"/>
        </w:rPr>
        <w:t xml:space="preserve">, </w:t>
      </w:r>
      <w:r w:rsidR="00107E5E" w:rsidRPr="00174707">
        <w:rPr>
          <w:rFonts w:ascii="Arial" w:hAnsi="Arial" w:cs="Arial"/>
          <w:sz w:val="24"/>
          <w:szCs w:val="24"/>
        </w:rPr>
        <w:t>któr</w:t>
      </w:r>
      <w:r w:rsidR="00056E2D" w:rsidRPr="00174707">
        <w:rPr>
          <w:rFonts w:ascii="Arial" w:hAnsi="Arial" w:cs="Arial"/>
          <w:sz w:val="24"/>
          <w:szCs w:val="24"/>
        </w:rPr>
        <w:t>ą</w:t>
      </w:r>
      <w:r w:rsidR="00107E5E" w:rsidRPr="00174707">
        <w:rPr>
          <w:rFonts w:ascii="Arial" w:hAnsi="Arial" w:cs="Arial"/>
          <w:sz w:val="24"/>
          <w:szCs w:val="24"/>
        </w:rPr>
        <w:t xml:space="preserve"> </w:t>
      </w:r>
      <w:r w:rsidR="00DA1CCC" w:rsidRPr="00174707">
        <w:rPr>
          <w:rFonts w:ascii="Arial" w:hAnsi="Arial" w:cs="Arial"/>
          <w:sz w:val="24"/>
          <w:szCs w:val="24"/>
        </w:rPr>
        <w:t>K</w:t>
      </w:r>
      <w:r w:rsidR="00107E5E" w:rsidRPr="00174707">
        <w:rPr>
          <w:rFonts w:ascii="Arial" w:hAnsi="Arial" w:cs="Arial"/>
          <w:sz w:val="24"/>
          <w:szCs w:val="24"/>
        </w:rPr>
        <w:t>omisja uznała za zasadn</w:t>
      </w:r>
      <w:r w:rsidR="00056E2D" w:rsidRPr="00174707">
        <w:rPr>
          <w:rFonts w:ascii="Arial" w:hAnsi="Arial" w:cs="Arial"/>
          <w:sz w:val="24"/>
          <w:szCs w:val="24"/>
        </w:rPr>
        <w:t>ą</w:t>
      </w:r>
      <w:r w:rsidRPr="00174707">
        <w:rPr>
          <w:rFonts w:ascii="Arial" w:hAnsi="Arial" w:cs="Arial"/>
          <w:sz w:val="24"/>
          <w:szCs w:val="24"/>
        </w:rPr>
        <w:t>.</w:t>
      </w:r>
    </w:p>
    <w:p w14:paraId="42342A86" w14:textId="3ED0DEF8" w:rsidR="00A239A6" w:rsidRPr="00174707" w:rsidRDefault="009064D5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t xml:space="preserve">Celem </w:t>
      </w:r>
      <w:r w:rsidR="008D13D2" w:rsidRPr="00174707">
        <w:rPr>
          <w:rFonts w:ascii="Arial" w:hAnsi="Arial" w:cs="Arial"/>
          <w:sz w:val="24"/>
          <w:szCs w:val="24"/>
        </w:rPr>
        <w:t xml:space="preserve">projektowanej </w:t>
      </w:r>
      <w:r w:rsidRPr="00174707">
        <w:rPr>
          <w:rFonts w:ascii="Arial" w:hAnsi="Arial" w:cs="Arial"/>
          <w:sz w:val="24"/>
          <w:szCs w:val="24"/>
        </w:rPr>
        <w:t xml:space="preserve">ustawy jest dokonanie zmian </w:t>
      </w:r>
      <w:r w:rsidR="00056E2D" w:rsidRPr="00174707">
        <w:rPr>
          <w:rFonts w:ascii="Arial" w:hAnsi="Arial" w:cs="Arial"/>
          <w:sz w:val="24"/>
          <w:szCs w:val="24"/>
        </w:rPr>
        <w:t xml:space="preserve">w </w:t>
      </w:r>
      <w:r w:rsidR="008D13D2" w:rsidRPr="00174707">
        <w:rPr>
          <w:rFonts w:ascii="Arial" w:hAnsi="Arial" w:cs="Arial"/>
          <w:sz w:val="24"/>
          <w:szCs w:val="24"/>
        </w:rPr>
        <w:t>ustawie z dnia</w:t>
      </w:r>
      <w:r w:rsidR="00A239A6" w:rsidRPr="00174707">
        <w:rPr>
          <w:rFonts w:ascii="Arial" w:hAnsi="Arial" w:cs="Arial"/>
          <w:sz w:val="24"/>
          <w:szCs w:val="24"/>
        </w:rPr>
        <w:t xml:space="preserve"> 13 kwietnia 2007 r. o Państwowej Inspekcji Pracy</w:t>
      </w:r>
      <w:r w:rsidR="0035213C" w:rsidRPr="00174707">
        <w:rPr>
          <w:rFonts w:ascii="Arial" w:hAnsi="Arial" w:cs="Arial"/>
          <w:sz w:val="24"/>
          <w:szCs w:val="24"/>
        </w:rPr>
        <w:t xml:space="preserve"> oraz w ustawie z dnia 6 marca 2018 r. Prawo przedsiębiorców</w:t>
      </w:r>
      <w:r w:rsidR="008D13D2" w:rsidRPr="00174707">
        <w:rPr>
          <w:rFonts w:ascii="Arial" w:hAnsi="Arial" w:cs="Arial"/>
          <w:sz w:val="24"/>
          <w:szCs w:val="24"/>
        </w:rPr>
        <w:t xml:space="preserve">, </w:t>
      </w:r>
      <w:r w:rsidR="00A239A6" w:rsidRPr="00174707">
        <w:rPr>
          <w:rFonts w:ascii="Arial" w:hAnsi="Arial" w:cs="Arial"/>
          <w:sz w:val="24"/>
          <w:szCs w:val="24"/>
        </w:rPr>
        <w:t>mających na celu uproszczenie i ujednolicenie procedur kontroli przedsiębiorców i innych pracodawców, realizowanych przez różne państwowe instytucje kontrolne</w:t>
      </w:r>
      <w:r w:rsidR="00A239A6" w:rsidRPr="0017470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6502CFF" w14:textId="77777777" w:rsidR="00DC7070" w:rsidRPr="00174707" w:rsidRDefault="00DC7070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CDB1611" w14:textId="6E06AFA0" w:rsidR="00AC4D9F" w:rsidRPr="00174707" w:rsidRDefault="00AC4D9F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174707">
        <w:rPr>
          <w:rStyle w:val="Ppogrubienie"/>
          <w:rFonts w:ascii="Arial" w:hAnsi="Arial"/>
          <w:szCs w:val="24"/>
        </w:rPr>
        <w:t>2.</w:t>
      </w:r>
      <w:r w:rsidRPr="00174707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174707" w:rsidRPr="00174707">
        <w:rPr>
          <w:rStyle w:val="Ppogrubienie"/>
          <w:rFonts w:ascii="Arial" w:hAnsi="Arial"/>
          <w:szCs w:val="24"/>
        </w:rPr>
        <w:t>,</w:t>
      </w:r>
      <w:r w:rsidR="003E76C0" w:rsidRPr="00174707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6BEA6570" w14:textId="2EFFA188" w:rsidR="00A2452F" w:rsidRPr="00174707" w:rsidRDefault="00A239A6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t>Zakresem działania Państwowej Inspekcji Pracy objęto wszystkich pracodawców</w:t>
      </w:r>
      <w:r w:rsidR="00B70EB2" w:rsidRPr="00174707">
        <w:rPr>
          <w:rFonts w:ascii="Arial" w:hAnsi="Arial" w:cs="Arial"/>
          <w:sz w:val="24"/>
          <w:szCs w:val="24"/>
        </w:rPr>
        <w:t>, jednak w</w:t>
      </w:r>
      <w:r w:rsidRPr="00174707">
        <w:rPr>
          <w:rFonts w:ascii="Arial" w:hAnsi="Arial" w:cs="Arial"/>
          <w:sz w:val="24"/>
          <w:szCs w:val="24"/>
        </w:rPr>
        <w:t xml:space="preserve"> przypadku, gdy kontrola ma dotyczyć przedsiębiorców w aktualnym stanie prawnym</w:t>
      </w:r>
      <w:r w:rsidR="00B70EB2" w:rsidRPr="00174707">
        <w:rPr>
          <w:rFonts w:ascii="Arial" w:hAnsi="Arial" w:cs="Arial"/>
          <w:sz w:val="24"/>
          <w:szCs w:val="24"/>
        </w:rPr>
        <w:t>,</w:t>
      </w:r>
      <w:r w:rsidRPr="00174707">
        <w:rPr>
          <w:rFonts w:ascii="Arial" w:hAnsi="Arial" w:cs="Arial"/>
          <w:sz w:val="24"/>
          <w:szCs w:val="24"/>
        </w:rPr>
        <w:t xml:space="preserve"> postanowienia art. 24 ust. 3</w:t>
      </w:r>
      <w:r w:rsidR="00174707" w:rsidRPr="00174707">
        <w:rPr>
          <w:rFonts w:ascii="Arial" w:hAnsi="Arial" w:cs="Arial"/>
          <w:sz w:val="24"/>
          <w:szCs w:val="24"/>
        </w:rPr>
        <w:t>–</w:t>
      </w:r>
      <w:r w:rsidRPr="00174707">
        <w:rPr>
          <w:rFonts w:ascii="Arial" w:hAnsi="Arial" w:cs="Arial"/>
          <w:sz w:val="24"/>
          <w:szCs w:val="24"/>
        </w:rPr>
        <w:t xml:space="preserve">7 ustawy o Państwowej Inspekcji Pracy obligują inspektorów pracy do okazania osobie reprezentującej podmiot kontrolowany, poza legitymacją służbową, także upoważnienia do kontroli. Obowiązek ten nałożono na inspektorów pracy w 2004 r. Wcześniej kontrola wszystkich podmiotów odbywała się po okazaniu legitymacji służbowej. </w:t>
      </w:r>
      <w:r w:rsidR="00B70EB2" w:rsidRPr="00174707">
        <w:rPr>
          <w:rFonts w:ascii="Arial" w:hAnsi="Arial" w:cs="Arial"/>
          <w:sz w:val="24"/>
          <w:szCs w:val="24"/>
        </w:rPr>
        <w:t>D</w:t>
      </w:r>
      <w:r w:rsidRPr="00174707">
        <w:rPr>
          <w:rFonts w:ascii="Arial" w:hAnsi="Arial" w:cs="Arial"/>
          <w:sz w:val="24"/>
          <w:szCs w:val="24"/>
        </w:rPr>
        <w:t>o kontroli pracodawców nieposiadających statusu przedsiębiorców wystarczając</w:t>
      </w:r>
      <w:r w:rsidR="00174707" w:rsidRPr="00174707">
        <w:rPr>
          <w:rFonts w:ascii="Arial" w:hAnsi="Arial" w:cs="Arial"/>
          <w:sz w:val="24"/>
          <w:szCs w:val="24"/>
        </w:rPr>
        <w:t>e</w:t>
      </w:r>
      <w:r w:rsidRPr="00174707">
        <w:rPr>
          <w:rFonts w:ascii="Arial" w:hAnsi="Arial" w:cs="Arial"/>
          <w:sz w:val="24"/>
          <w:szCs w:val="24"/>
        </w:rPr>
        <w:t xml:space="preserve"> jest </w:t>
      </w:r>
      <w:r w:rsidR="00B70EB2" w:rsidRPr="00174707">
        <w:rPr>
          <w:rFonts w:ascii="Arial" w:hAnsi="Arial" w:cs="Arial"/>
          <w:sz w:val="24"/>
          <w:szCs w:val="24"/>
        </w:rPr>
        <w:t xml:space="preserve">nadal </w:t>
      </w:r>
      <w:r w:rsidRPr="00174707">
        <w:rPr>
          <w:rFonts w:ascii="Arial" w:hAnsi="Arial" w:cs="Arial"/>
          <w:sz w:val="24"/>
          <w:szCs w:val="24"/>
        </w:rPr>
        <w:t>okazani</w:t>
      </w:r>
      <w:r w:rsidR="00174707" w:rsidRPr="00174707">
        <w:rPr>
          <w:rFonts w:ascii="Arial" w:hAnsi="Arial" w:cs="Arial"/>
          <w:sz w:val="24"/>
          <w:szCs w:val="24"/>
        </w:rPr>
        <w:t>e</w:t>
      </w:r>
      <w:r w:rsidRPr="00174707">
        <w:rPr>
          <w:rFonts w:ascii="Arial" w:hAnsi="Arial" w:cs="Arial"/>
          <w:sz w:val="24"/>
          <w:szCs w:val="24"/>
        </w:rPr>
        <w:t xml:space="preserve"> przez inspektora pracy osobie reprezentującej taki podmiot </w:t>
      </w:r>
      <w:r w:rsidR="00B70EB2" w:rsidRPr="00174707">
        <w:rPr>
          <w:rFonts w:ascii="Arial" w:hAnsi="Arial" w:cs="Arial"/>
          <w:sz w:val="24"/>
          <w:szCs w:val="24"/>
        </w:rPr>
        <w:t>jedynie</w:t>
      </w:r>
      <w:r w:rsidRPr="00174707">
        <w:rPr>
          <w:rFonts w:ascii="Arial" w:hAnsi="Arial" w:cs="Arial"/>
          <w:sz w:val="24"/>
          <w:szCs w:val="24"/>
        </w:rPr>
        <w:t xml:space="preserve"> legitymacji służbowej.</w:t>
      </w:r>
    </w:p>
    <w:p w14:paraId="1A425CAC" w14:textId="782F251F" w:rsidR="00385CD7" w:rsidRPr="00174707" w:rsidRDefault="00385CD7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t>Autorzy petycji wskazali, że już z samej dyspozycji art. 24 ust. 2 ustawy o Państwowej Inspekcji Pracy wynika, że legitymacja służbowa inspektora pracy potwierdza jego tożsamość i uprawnienia, co oznacza, że sam ustawodawca nie wprowadził w tej materii żadnych ograniczeń. Ten przepis może wskazywać na bezprzedmiotowość regulacji art. 24 ust. 3</w:t>
      </w:r>
      <w:r w:rsidR="00174707" w:rsidRPr="00174707">
        <w:rPr>
          <w:rFonts w:ascii="Arial" w:hAnsi="Arial" w:cs="Arial"/>
          <w:sz w:val="24"/>
          <w:szCs w:val="24"/>
        </w:rPr>
        <w:t>–</w:t>
      </w:r>
      <w:r w:rsidRPr="00174707">
        <w:rPr>
          <w:rFonts w:ascii="Arial" w:hAnsi="Arial" w:cs="Arial"/>
          <w:sz w:val="24"/>
          <w:szCs w:val="24"/>
        </w:rPr>
        <w:t xml:space="preserve">7, może jednak także oznaczać, że ta </w:t>
      </w:r>
      <w:r w:rsidRPr="00174707">
        <w:rPr>
          <w:rFonts w:ascii="Arial" w:hAnsi="Arial" w:cs="Arial"/>
          <w:sz w:val="24"/>
          <w:szCs w:val="24"/>
        </w:rPr>
        <w:lastRenderedPageBreak/>
        <w:t>regulacja wprowadza większe ograniczenia swobody przeprowadzania kontroli u przedsiębiorców.</w:t>
      </w:r>
    </w:p>
    <w:p w14:paraId="7EE9E402" w14:textId="77777777" w:rsidR="00385CD7" w:rsidRPr="00174707" w:rsidRDefault="00997AFF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</w:rPr>
        <w:t xml:space="preserve">W </w:t>
      </w:r>
      <w:r w:rsidR="00385CD7" w:rsidRPr="00174707">
        <w:rPr>
          <w:rFonts w:ascii="Arial" w:hAnsi="Arial" w:cs="Arial"/>
          <w:sz w:val="24"/>
          <w:szCs w:val="24"/>
        </w:rPr>
        <w:t>uzasadnieniu petycji przywołano także art. 19 ust. 1 pkt 3 ustawy o Państwowej Inspekcji Pracy i stwierdzono, że podmiot mający być objęty kontrolą wskazywany jest w planie pracy sporządzanym przez inspektora pracy</w:t>
      </w:r>
      <w:r w:rsidRPr="00174707">
        <w:rPr>
          <w:rFonts w:ascii="Arial" w:hAnsi="Arial" w:cs="Arial"/>
          <w:sz w:val="24"/>
          <w:szCs w:val="24"/>
        </w:rPr>
        <w:t>.</w:t>
      </w:r>
      <w:r w:rsidR="00385CD7" w:rsidRPr="00174707">
        <w:rPr>
          <w:rFonts w:ascii="Arial" w:hAnsi="Arial" w:cs="Arial"/>
          <w:sz w:val="24"/>
          <w:szCs w:val="24"/>
        </w:rPr>
        <w:t xml:space="preserve"> </w:t>
      </w:r>
      <w:r w:rsidRPr="00174707">
        <w:rPr>
          <w:rFonts w:ascii="Arial" w:hAnsi="Arial" w:cs="Arial"/>
          <w:sz w:val="24"/>
          <w:szCs w:val="24"/>
        </w:rPr>
        <w:t>P</w:t>
      </w:r>
      <w:r w:rsidR="00385CD7" w:rsidRPr="00174707">
        <w:rPr>
          <w:rFonts w:ascii="Arial" w:hAnsi="Arial" w:cs="Arial"/>
          <w:sz w:val="24"/>
          <w:szCs w:val="24"/>
        </w:rPr>
        <w:t xml:space="preserve">lan </w:t>
      </w:r>
      <w:r w:rsidRPr="00174707">
        <w:rPr>
          <w:rFonts w:ascii="Arial" w:hAnsi="Arial" w:cs="Arial"/>
          <w:sz w:val="24"/>
          <w:szCs w:val="24"/>
        </w:rPr>
        <w:t xml:space="preserve">ten </w:t>
      </w:r>
      <w:r w:rsidR="00385CD7" w:rsidRPr="00174707">
        <w:rPr>
          <w:rFonts w:ascii="Arial" w:hAnsi="Arial" w:cs="Arial"/>
          <w:sz w:val="24"/>
          <w:szCs w:val="24"/>
        </w:rPr>
        <w:t>podlega uprzedniemu zatwierdzeniu przez właściwego inspektora pracy. Wskazano na wynikające z art. 19 ust. 1 pkt 1 i 2 ustawy o Państwowej Inspekcji Pracy kompetencje okręgowego inspektora pracy w zakresie nadzoru, koordynacji i podziału zadań inspektorów pracy. Z ustawy nie wynika jednak bezpośrednia zależność między planem pracy a kontrolą konkretnego zakładu pracy.</w:t>
      </w:r>
      <w:r w:rsidR="00A16B1B" w:rsidRPr="00174707">
        <w:rPr>
          <w:rFonts w:ascii="Arial" w:hAnsi="Arial" w:cs="Arial"/>
          <w:sz w:val="24"/>
          <w:szCs w:val="24"/>
        </w:rPr>
        <w:t xml:space="preserve"> Komisja podziela opinię wnioskodawców, że w </w:t>
      </w:r>
      <w:r w:rsidR="00D6670A" w:rsidRPr="00174707">
        <w:rPr>
          <w:rFonts w:ascii="Arial" w:hAnsi="Arial" w:cs="Arial"/>
          <w:sz w:val="24"/>
          <w:szCs w:val="24"/>
        </w:rPr>
        <w:t>tym</w:t>
      </w:r>
      <w:r w:rsidR="00A16B1B" w:rsidRPr="00174707">
        <w:rPr>
          <w:rFonts w:ascii="Arial" w:hAnsi="Arial" w:cs="Arial"/>
          <w:sz w:val="24"/>
          <w:szCs w:val="24"/>
        </w:rPr>
        <w:t xml:space="preserve"> zakresie występuje w ustawie sprzeczność.</w:t>
      </w:r>
    </w:p>
    <w:p w14:paraId="6DDD2366" w14:textId="4059C380" w:rsidR="00F500E9" w:rsidRPr="00174707" w:rsidRDefault="00A16B1B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4707">
        <w:rPr>
          <w:rFonts w:ascii="Arial" w:hAnsi="Arial" w:cs="Arial"/>
          <w:sz w:val="24"/>
          <w:szCs w:val="24"/>
          <w:shd w:val="clear" w:color="auto" w:fill="FFFFFF"/>
        </w:rPr>
        <w:t>Komisja uznała, że o ile sytuacja, która miała miejsce prawie dwadzieścia lat temu, gdy podejmowano decyzję o zróżnicowaniu procedur kontrolnych wobec przedsiębiorców</w:t>
      </w:r>
      <w:r w:rsidR="0017470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74707">
        <w:rPr>
          <w:rFonts w:ascii="Arial" w:hAnsi="Arial" w:cs="Arial"/>
          <w:sz w:val="24"/>
          <w:szCs w:val="24"/>
          <w:shd w:val="clear" w:color="auto" w:fill="FFFFFF"/>
        </w:rPr>
        <w:t xml:space="preserve"> wobec pozostałych pracodawców była uzasadniona, to obecnie brak jest uzasadnienia merytorycznego do zróżnicowanego traktowania pracodawców.</w:t>
      </w:r>
    </w:p>
    <w:p w14:paraId="57A3F7DD" w14:textId="77777777" w:rsidR="00A16B1B" w:rsidRPr="00174707" w:rsidRDefault="00A16B1B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707">
        <w:rPr>
          <w:rFonts w:ascii="Arial" w:hAnsi="Arial" w:cs="Arial"/>
          <w:sz w:val="24"/>
          <w:szCs w:val="24"/>
          <w:shd w:val="clear" w:color="auto" w:fill="FFFFFF"/>
        </w:rPr>
        <w:t xml:space="preserve">Projektowana ustawa wprowadza także zmianę w </w:t>
      </w:r>
      <w:r w:rsidRPr="00174707">
        <w:rPr>
          <w:rFonts w:ascii="Arial" w:hAnsi="Arial" w:cs="Arial"/>
          <w:sz w:val="24"/>
          <w:szCs w:val="24"/>
        </w:rPr>
        <w:t>ustawie z dnia 6 marca 2018 r. Prawo przedsiębiorców, mającą na celu wskazanie, że przepisów rozdziału 5 tej ustawy („Ograniczenia kontroli działalności gospodarczej”) nie stosuje się do kontroli prowadzonej na podstawie ustawy z dnia 13 kwietnia 2007 r. o Państwowej Inspekcji Pracy.</w:t>
      </w:r>
    </w:p>
    <w:p w14:paraId="4868C435" w14:textId="77777777" w:rsidR="00C237AE" w:rsidRPr="00174707" w:rsidRDefault="00C237AE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3C06CF" w14:textId="77777777" w:rsidR="007F54DC" w:rsidRPr="00174707" w:rsidRDefault="003E76C0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174707">
        <w:rPr>
          <w:rStyle w:val="Ppogrubienie"/>
          <w:rFonts w:ascii="Arial" w:hAnsi="Arial"/>
          <w:szCs w:val="24"/>
        </w:rPr>
        <w:t>3</w:t>
      </w:r>
      <w:r w:rsidR="00AC4D9F" w:rsidRPr="00174707">
        <w:rPr>
          <w:rStyle w:val="Ppogrubienie"/>
          <w:rFonts w:ascii="Arial" w:hAnsi="Arial"/>
          <w:szCs w:val="24"/>
        </w:rPr>
        <w:t>.</w:t>
      </w:r>
      <w:r w:rsidR="00AC4D9F" w:rsidRPr="00174707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77DE2011" w14:textId="7D5B556C" w:rsidR="00254B59" w:rsidRPr="00174707" w:rsidRDefault="0030711F" w:rsidP="008E7897">
      <w:pPr>
        <w:pStyle w:val="PKTpunkt"/>
        <w:spacing w:after="120"/>
        <w:ind w:left="0" w:firstLine="708"/>
        <w:rPr>
          <w:rFonts w:ascii="Arial" w:hAnsi="Arial"/>
        </w:rPr>
      </w:pPr>
      <w:r w:rsidRPr="0017470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Zasadniczym skutkiem społecznym i prawnym projektowanej ustawy będzie</w:t>
      </w:r>
      <w:r w:rsidR="00C237AE" w:rsidRPr="0017470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stosowanie przez Państwową Inspekcję Pracy jednakowych procedur kontrolnych wobec wszystkich pracodawców. </w:t>
      </w:r>
      <w:r w:rsidR="00254B59" w:rsidRPr="00174707">
        <w:rPr>
          <w:rFonts w:ascii="Arial" w:hAnsi="Arial"/>
        </w:rPr>
        <w:t xml:space="preserve">Wprowadzenie zmian powinno </w:t>
      </w:r>
      <w:r w:rsidR="008A2025" w:rsidRPr="00174707">
        <w:rPr>
          <w:rFonts w:ascii="Arial" w:hAnsi="Arial"/>
        </w:rPr>
        <w:t xml:space="preserve">także </w:t>
      </w:r>
      <w:r w:rsidR="00254B59" w:rsidRPr="00174707">
        <w:rPr>
          <w:rFonts w:ascii="Arial" w:hAnsi="Arial"/>
        </w:rPr>
        <w:t>usprawnić i odbiurokratyzować proces kontrolny, przez to pozytywnie wpływając na realizację zadań PIP, w tym na zwiększenie możliwości prowadzenia działań kontrolnych.</w:t>
      </w:r>
    </w:p>
    <w:p w14:paraId="1F812988" w14:textId="14333ABB" w:rsidR="008A2025" w:rsidRPr="00174707" w:rsidRDefault="008A2025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  <w:r w:rsidRPr="00174707">
        <w:rPr>
          <w:rFonts w:ascii="Arial" w:hAnsi="Arial"/>
        </w:rPr>
        <w:t>Za pozytywny skutek finansowy projektowanej ustawy, wynikający z uproszczenia i odbiurokratyzowania procesów kontrolnych, należy uznać zwiększenie możliwości kontrolnych Państwowej Inspekcji Pracy</w:t>
      </w:r>
      <w:r w:rsidR="00174707">
        <w:rPr>
          <w:rFonts w:ascii="Arial" w:hAnsi="Arial"/>
        </w:rPr>
        <w:t>,</w:t>
      </w:r>
      <w:r w:rsidRPr="00174707">
        <w:rPr>
          <w:rFonts w:ascii="Arial" w:hAnsi="Arial"/>
        </w:rPr>
        <w:t xml:space="preserve"> a tym samym </w:t>
      </w:r>
      <w:r w:rsidRPr="00174707">
        <w:rPr>
          <w:rFonts w:ascii="Arial" w:hAnsi="Arial"/>
        </w:rPr>
        <w:lastRenderedPageBreak/>
        <w:t xml:space="preserve">bardziej efektywne </w:t>
      </w:r>
      <w:r w:rsidR="00553532">
        <w:rPr>
          <w:rFonts w:ascii="Arial" w:hAnsi="Arial"/>
        </w:rPr>
        <w:t xml:space="preserve">wykorzystanie </w:t>
      </w:r>
      <w:r w:rsidRPr="00174707">
        <w:rPr>
          <w:rFonts w:ascii="Arial" w:hAnsi="Arial"/>
        </w:rPr>
        <w:t>środków finansowych przeznaczanych przez państwo na działania kontrolne w obszarze stosunków pracy.</w:t>
      </w:r>
    </w:p>
    <w:p w14:paraId="39231BE6" w14:textId="0FB0A724" w:rsidR="00831864" w:rsidRPr="00174707" w:rsidRDefault="0030711F" w:rsidP="008E78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174707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Ze względu na swój charakter i ograniczony zasięg ustawa nie wywoła skutków gospodarczych, </w:t>
      </w:r>
      <w:r w:rsidR="008A2025" w:rsidRPr="00174707">
        <w:rPr>
          <w:rStyle w:val="Ppogrubienie"/>
          <w:rFonts w:ascii="Arial" w:hAnsi="Arial"/>
          <w:b w:val="0"/>
          <w:szCs w:val="24"/>
        </w:rPr>
        <w:t>może mieć pewien</w:t>
      </w:r>
      <w:r w:rsidR="0076233B" w:rsidRPr="00174707">
        <w:rPr>
          <w:rStyle w:val="Ppogrubienie"/>
          <w:rFonts w:ascii="Arial" w:hAnsi="Arial"/>
          <w:b w:val="0"/>
          <w:szCs w:val="24"/>
        </w:rPr>
        <w:t xml:space="preserve"> wpływ na działalność podmiotów gospodarczych (w tym mikroprzedsiębiorców oraz małych i średnich przedsię</w:t>
      </w:r>
      <w:r w:rsidR="00553532" w:rsidRPr="00174707">
        <w:rPr>
          <w:rStyle w:val="Ppogrubienie"/>
          <w:rFonts w:ascii="Arial" w:hAnsi="Arial"/>
          <w:b w:val="0"/>
          <w:szCs w:val="24"/>
        </w:rPr>
        <w:t>biorców</w:t>
      </w:r>
      <w:r w:rsidR="0076233B" w:rsidRPr="00174707">
        <w:rPr>
          <w:rStyle w:val="Ppogrubienie"/>
          <w:rFonts w:ascii="Arial" w:hAnsi="Arial"/>
          <w:b w:val="0"/>
          <w:szCs w:val="24"/>
        </w:rPr>
        <w:t>).</w:t>
      </w:r>
      <w:r w:rsidR="00573A00" w:rsidRPr="00174707">
        <w:rPr>
          <w:rStyle w:val="Ppogrubienie"/>
          <w:rFonts w:ascii="Arial" w:hAnsi="Arial"/>
          <w:b w:val="0"/>
          <w:szCs w:val="24"/>
        </w:rPr>
        <w:t xml:space="preserve"> </w:t>
      </w:r>
      <w:r w:rsidR="008A2025" w:rsidRPr="00174707">
        <w:rPr>
          <w:rStyle w:val="Ppogrubienie"/>
          <w:rFonts w:ascii="Arial" w:hAnsi="Arial"/>
          <w:b w:val="0"/>
          <w:szCs w:val="24"/>
        </w:rPr>
        <w:t>W przypadku podmiotów przestrzegających przepisów w zakresie zatrudniania pracowników ten wpływ może być pozytywny, poprzez odbiurokratyzowanie procedur kontrolnych. W przypadku przedsiębiorców – pracodawców naruszających prawa pracowników projektowana ustawa zwiększy skuteczność działań kontrolnych ze strony Państwa.</w:t>
      </w:r>
    </w:p>
    <w:p w14:paraId="12F22A10" w14:textId="77777777" w:rsidR="007A0C9F" w:rsidRPr="00174707" w:rsidRDefault="007A0C9F" w:rsidP="008E78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174707">
        <w:rPr>
          <w:rStyle w:val="Ppogrubienie"/>
          <w:rFonts w:ascii="Arial" w:hAnsi="Arial"/>
          <w:b w:val="0"/>
          <w:szCs w:val="24"/>
        </w:rPr>
        <w:t>Z uwagi na to, że projekt ustawy nie zawiera przepisów regulacyjnych ani przepisów określających wymogi dotyczące świadczenia usług transgranicznych w rozumieniu ustawy z dnia 22 grudnia 2015 r. o zasadach uznawania kwalifikacji zawodowych nabytych w państwach członkowskich Unii Europejskiej, przepis art. 34 ust. 2b regulaminu Sejmu nie znajduje zastosowania.</w:t>
      </w:r>
    </w:p>
    <w:p w14:paraId="6F4463AD" w14:textId="77777777" w:rsidR="0030711F" w:rsidRPr="00174707" w:rsidRDefault="0030711F" w:rsidP="0005629E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2DB0E912" w14:textId="77777777" w:rsidR="0005629E" w:rsidRPr="00174707" w:rsidRDefault="0005629E" w:rsidP="0005629E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174707">
        <w:rPr>
          <w:rStyle w:val="Ppogrubienie"/>
          <w:rFonts w:ascii="Arial" w:eastAsia="Calibri" w:hAnsi="Arial"/>
          <w:bCs w:val="0"/>
          <w:szCs w:val="24"/>
          <w:lang w:eastAsia="en-US"/>
        </w:rPr>
        <w:t xml:space="preserve">4. </w:t>
      </w:r>
      <w:r w:rsidRPr="00174707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76EA2FE0" w14:textId="77777777" w:rsidR="00F1312E" w:rsidRPr="00174707" w:rsidRDefault="00DC7070" w:rsidP="008E7897">
      <w:pPr>
        <w:pStyle w:val="PKTpunkt"/>
        <w:spacing w:after="120"/>
        <w:ind w:left="0" w:firstLine="708"/>
        <w:rPr>
          <w:rFonts w:ascii="Arial" w:hAnsi="Arial"/>
        </w:rPr>
      </w:pPr>
      <w:r w:rsidRPr="00174707">
        <w:rPr>
          <w:rFonts w:ascii="Arial" w:hAnsi="Arial"/>
        </w:rPr>
        <w:t>Projektowana ustawa nie wymaga zmiany aktów wykonawczych.</w:t>
      </w:r>
    </w:p>
    <w:p w14:paraId="113BAA80" w14:textId="77777777" w:rsidR="0005629E" w:rsidRPr="00174707" w:rsidRDefault="0005629E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3908A95F" w14:textId="77777777" w:rsidR="00AC4D9F" w:rsidRPr="00174707" w:rsidRDefault="0005629E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174707">
        <w:rPr>
          <w:rStyle w:val="Ppogrubienie"/>
          <w:rFonts w:ascii="Arial" w:hAnsi="Arial"/>
          <w:szCs w:val="24"/>
        </w:rPr>
        <w:t>5</w:t>
      </w:r>
      <w:r w:rsidR="00AC4D9F" w:rsidRPr="00174707">
        <w:rPr>
          <w:rStyle w:val="Ppogrubienie"/>
          <w:rFonts w:ascii="Arial" w:hAnsi="Arial"/>
          <w:szCs w:val="24"/>
        </w:rPr>
        <w:t>.</w:t>
      </w:r>
      <w:r w:rsidR="00AC4D9F" w:rsidRPr="00174707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1C56762F" w14:textId="77777777" w:rsidR="00880849" w:rsidRPr="00174707" w:rsidRDefault="00AC4D9F" w:rsidP="008E7897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174707">
        <w:rPr>
          <w:rFonts w:ascii="Arial" w:hAnsi="Arial"/>
          <w:szCs w:val="24"/>
        </w:rPr>
        <w:t>Przedmiot projektowanej regulacji nie jest objęty prawem Unii Europejskiej.</w:t>
      </w:r>
    </w:p>
    <w:sectPr w:rsidR="00880849" w:rsidRPr="00174707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B323" w14:textId="77777777" w:rsidR="00981B38" w:rsidRDefault="00981B38">
      <w:r>
        <w:separator/>
      </w:r>
    </w:p>
  </w:endnote>
  <w:endnote w:type="continuationSeparator" w:id="0">
    <w:p w14:paraId="79AF7F8B" w14:textId="77777777" w:rsidR="00981B38" w:rsidRDefault="009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4E14" w14:textId="77777777" w:rsidR="00981B38" w:rsidRDefault="00981B38">
      <w:r>
        <w:separator/>
      </w:r>
    </w:p>
  </w:footnote>
  <w:footnote w:type="continuationSeparator" w:id="0">
    <w:p w14:paraId="4D762CCA" w14:textId="77777777" w:rsidR="00981B38" w:rsidRDefault="009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85C"/>
    <w:multiLevelType w:val="multilevel"/>
    <w:tmpl w:val="18027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A433C"/>
    <w:multiLevelType w:val="hybridMultilevel"/>
    <w:tmpl w:val="687246DE"/>
    <w:lvl w:ilvl="0" w:tplc="088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430E"/>
    <w:multiLevelType w:val="hybridMultilevel"/>
    <w:tmpl w:val="B056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23F"/>
    <w:multiLevelType w:val="hybridMultilevel"/>
    <w:tmpl w:val="D6340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37A93"/>
    <w:multiLevelType w:val="hybridMultilevel"/>
    <w:tmpl w:val="40824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7731C9"/>
    <w:multiLevelType w:val="hybridMultilevel"/>
    <w:tmpl w:val="399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A7E"/>
    <w:multiLevelType w:val="hybridMultilevel"/>
    <w:tmpl w:val="E838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400C"/>
    <w:multiLevelType w:val="hybridMultilevel"/>
    <w:tmpl w:val="F718FF7E"/>
    <w:lvl w:ilvl="0" w:tplc="4C38554A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191A05"/>
    <w:multiLevelType w:val="hybridMultilevel"/>
    <w:tmpl w:val="AD7A9D90"/>
    <w:lvl w:ilvl="0" w:tplc="0310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C64CB"/>
    <w:multiLevelType w:val="hybridMultilevel"/>
    <w:tmpl w:val="FBF6A0B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5218379A"/>
    <w:multiLevelType w:val="hybridMultilevel"/>
    <w:tmpl w:val="A2980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101561"/>
    <w:multiLevelType w:val="hybridMultilevel"/>
    <w:tmpl w:val="BDE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3BFD"/>
    <w:multiLevelType w:val="hybridMultilevel"/>
    <w:tmpl w:val="5372B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50B79"/>
    <w:multiLevelType w:val="hybridMultilevel"/>
    <w:tmpl w:val="4DCE3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70D21"/>
    <w:multiLevelType w:val="hybridMultilevel"/>
    <w:tmpl w:val="9AA89486"/>
    <w:lvl w:ilvl="0" w:tplc="80F6E15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0F5375E"/>
    <w:multiLevelType w:val="multilevel"/>
    <w:tmpl w:val="E65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9B2F22"/>
    <w:multiLevelType w:val="hybridMultilevel"/>
    <w:tmpl w:val="37D2DD9E"/>
    <w:lvl w:ilvl="0" w:tplc="7CDA5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23CC7"/>
    <w:multiLevelType w:val="multilevel"/>
    <w:tmpl w:val="94FCF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6032185">
    <w:abstractNumId w:val="9"/>
  </w:num>
  <w:num w:numId="2" w16cid:durableId="985860141">
    <w:abstractNumId w:val="4"/>
  </w:num>
  <w:num w:numId="3" w16cid:durableId="1332023842">
    <w:abstractNumId w:val="10"/>
  </w:num>
  <w:num w:numId="4" w16cid:durableId="453141144">
    <w:abstractNumId w:val="0"/>
  </w:num>
  <w:num w:numId="5" w16cid:durableId="305204824">
    <w:abstractNumId w:val="15"/>
  </w:num>
  <w:num w:numId="6" w16cid:durableId="1381900903">
    <w:abstractNumId w:val="17"/>
  </w:num>
  <w:num w:numId="7" w16cid:durableId="32581361">
    <w:abstractNumId w:val="3"/>
  </w:num>
  <w:num w:numId="8" w16cid:durableId="1851094900">
    <w:abstractNumId w:val="1"/>
  </w:num>
  <w:num w:numId="9" w16cid:durableId="1167406224">
    <w:abstractNumId w:val="11"/>
  </w:num>
  <w:num w:numId="10" w16cid:durableId="1782650050">
    <w:abstractNumId w:val="6"/>
  </w:num>
  <w:num w:numId="11" w16cid:durableId="1691223789">
    <w:abstractNumId w:val="7"/>
  </w:num>
  <w:num w:numId="12" w16cid:durableId="113721403">
    <w:abstractNumId w:val="14"/>
  </w:num>
  <w:num w:numId="13" w16cid:durableId="1564415365">
    <w:abstractNumId w:val="2"/>
  </w:num>
  <w:num w:numId="14" w16cid:durableId="827745657">
    <w:abstractNumId w:val="13"/>
  </w:num>
  <w:num w:numId="15" w16cid:durableId="470946085">
    <w:abstractNumId w:val="12"/>
  </w:num>
  <w:num w:numId="16" w16cid:durableId="1464301071">
    <w:abstractNumId w:val="16"/>
  </w:num>
  <w:num w:numId="17" w16cid:durableId="976643723">
    <w:abstractNumId w:val="5"/>
  </w:num>
  <w:num w:numId="18" w16cid:durableId="1907451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8F"/>
    <w:rsid w:val="00003E8E"/>
    <w:rsid w:val="00007C8F"/>
    <w:rsid w:val="000154E2"/>
    <w:rsid w:val="00024B86"/>
    <w:rsid w:val="000306C4"/>
    <w:rsid w:val="000345E4"/>
    <w:rsid w:val="00041835"/>
    <w:rsid w:val="00055277"/>
    <w:rsid w:val="0005629E"/>
    <w:rsid w:val="00056E2D"/>
    <w:rsid w:val="000621D8"/>
    <w:rsid w:val="00065621"/>
    <w:rsid w:val="00071599"/>
    <w:rsid w:val="0007241F"/>
    <w:rsid w:val="00076FAF"/>
    <w:rsid w:val="000828F3"/>
    <w:rsid w:val="00084E72"/>
    <w:rsid w:val="00085A7E"/>
    <w:rsid w:val="000A3E6A"/>
    <w:rsid w:val="000B107B"/>
    <w:rsid w:val="000B6D30"/>
    <w:rsid w:val="000C0397"/>
    <w:rsid w:val="000C3656"/>
    <w:rsid w:val="000D16B4"/>
    <w:rsid w:val="000D44FB"/>
    <w:rsid w:val="000D7030"/>
    <w:rsid w:val="000E09D4"/>
    <w:rsid w:val="00102575"/>
    <w:rsid w:val="00107E5E"/>
    <w:rsid w:val="00124393"/>
    <w:rsid w:val="001349F8"/>
    <w:rsid w:val="00135443"/>
    <w:rsid w:val="00135BD9"/>
    <w:rsid w:val="00135EA2"/>
    <w:rsid w:val="00142EDA"/>
    <w:rsid w:val="001456ED"/>
    <w:rsid w:val="00152762"/>
    <w:rsid w:val="00152A3A"/>
    <w:rsid w:val="00162ADB"/>
    <w:rsid w:val="00166F71"/>
    <w:rsid w:val="00173A47"/>
    <w:rsid w:val="00174707"/>
    <w:rsid w:val="001804DA"/>
    <w:rsid w:val="001827AB"/>
    <w:rsid w:val="001902E8"/>
    <w:rsid w:val="00190D3E"/>
    <w:rsid w:val="0019518A"/>
    <w:rsid w:val="00195BF0"/>
    <w:rsid w:val="00197593"/>
    <w:rsid w:val="00197868"/>
    <w:rsid w:val="001A1F69"/>
    <w:rsid w:val="001C3E8C"/>
    <w:rsid w:val="001D0690"/>
    <w:rsid w:val="001D0DE3"/>
    <w:rsid w:val="001D1E5F"/>
    <w:rsid w:val="001D28E8"/>
    <w:rsid w:val="001E2F40"/>
    <w:rsid w:val="00204D15"/>
    <w:rsid w:val="00205DB6"/>
    <w:rsid w:val="0021168C"/>
    <w:rsid w:val="00221AAA"/>
    <w:rsid w:val="00223C94"/>
    <w:rsid w:val="00226DC4"/>
    <w:rsid w:val="0022710F"/>
    <w:rsid w:val="00232608"/>
    <w:rsid w:val="00241424"/>
    <w:rsid w:val="00254B59"/>
    <w:rsid w:val="002A586C"/>
    <w:rsid w:val="002A62FB"/>
    <w:rsid w:val="002B105E"/>
    <w:rsid w:val="002E488E"/>
    <w:rsid w:val="002F06C5"/>
    <w:rsid w:val="002F0F13"/>
    <w:rsid w:val="002F5C5F"/>
    <w:rsid w:val="003031C3"/>
    <w:rsid w:val="00304911"/>
    <w:rsid w:val="00306A40"/>
    <w:rsid w:val="0030711F"/>
    <w:rsid w:val="003141A3"/>
    <w:rsid w:val="00314D3C"/>
    <w:rsid w:val="00342745"/>
    <w:rsid w:val="00351137"/>
    <w:rsid w:val="0035213C"/>
    <w:rsid w:val="00356008"/>
    <w:rsid w:val="00360277"/>
    <w:rsid w:val="003658FE"/>
    <w:rsid w:val="00374EC0"/>
    <w:rsid w:val="00385CD7"/>
    <w:rsid w:val="00392891"/>
    <w:rsid w:val="00392D86"/>
    <w:rsid w:val="003940AD"/>
    <w:rsid w:val="0039424C"/>
    <w:rsid w:val="0039704C"/>
    <w:rsid w:val="003A45FD"/>
    <w:rsid w:val="003B2B12"/>
    <w:rsid w:val="003B2B6C"/>
    <w:rsid w:val="003B3A76"/>
    <w:rsid w:val="003E1257"/>
    <w:rsid w:val="003E4433"/>
    <w:rsid w:val="003E76C0"/>
    <w:rsid w:val="003F1CF4"/>
    <w:rsid w:val="00407E35"/>
    <w:rsid w:val="00416F0A"/>
    <w:rsid w:val="004178D0"/>
    <w:rsid w:val="0042347B"/>
    <w:rsid w:val="00430954"/>
    <w:rsid w:val="00445511"/>
    <w:rsid w:val="004572A2"/>
    <w:rsid w:val="00460431"/>
    <w:rsid w:val="00467FA8"/>
    <w:rsid w:val="00471182"/>
    <w:rsid w:val="004732F7"/>
    <w:rsid w:val="00476B19"/>
    <w:rsid w:val="00486C59"/>
    <w:rsid w:val="004A285E"/>
    <w:rsid w:val="004B049B"/>
    <w:rsid w:val="004B3EB6"/>
    <w:rsid w:val="004B64A4"/>
    <w:rsid w:val="004D348B"/>
    <w:rsid w:val="004D4686"/>
    <w:rsid w:val="004F5880"/>
    <w:rsid w:val="00507840"/>
    <w:rsid w:val="00510D43"/>
    <w:rsid w:val="00515833"/>
    <w:rsid w:val="00521119"/>
    <w:rsid w:val="00521B93"/>
    <w:rsid w:val="00530732"/>
    <w:rsid w:val="00532AAA"/>
    <w:rsid w:val="00535A03"/>
    <w:rsid w:val="00540873"/>
    <w:rsid w:val="005420EE"/>
    <w:rsid w:val="00553532"/>
    <w:rsid w:val="005539E7"/>
    <w:rsid w:val="00570451"/>
    <w:rsid w:val="00573A00"/>
    <w:rsid w:val="00581F12"/>
    <w:rsid w:val="00585695"/>
    <w:rsid w:val="00590C55"/>
    <w:rsid w:val="00593C22"/>
    <w:rsid w:val="005A4819"/>
    <w:rsid w:val="005A4C9D"/>
    <w:rsid w:val="005A725C"/>
    <w:rsid w:val="005C10DD"/>
    <w:rsid w:val="005C6209"/>
    <w:rsid w:val="005D5A70"/>
    <w:rsid w:val="00607087"/>
    <w:rsid w:val="006158D5"/>
    <w:rsid w:val="006162C4"/>
    <w:rsid w:val="00616814"/>
    <w:rsid w:val="00620EA8"/>
    <w:rsid w:val="006248D8"/>
    <w:rsid w:val="00657274"/>
    <w:rsid w:val="0066337E"/>
    <w:rsid w:val="0066364B"/>
    <w:rsid w:val="0066658D"/>
    <w:rsid w:val="0068040B"/>
    <w:rsid w:val="00686D04"/>
    <w:rsid w:val="00690AC7"/>
    <w:rsid w:val="00694686"/>
    <w:rsid w:val="006A23F3"/>
    <w:rsid w:val="006B555C"/>
    <w:rsid w:val="006C17D7"/>
    <w:rsid w:val="006C19FE"/>
    <w:rsid w:val="006C1AC2"/>
    <w:rsid w:val="006D0BAA"/>
    <w:rsid w:val="006E15AC"/>
    <w:rsid w:val="006E2F2C"/>
    <w:rsid w:val="006E2FDC"/>
    <w:rsid w:val="006F2E11"/>
    <w:rsid w:val="006F621A"/>
    <w:rsid w:val="00700DA4"/>
    <w:rsid w:val="00702DBD"/>
    <w:rsid w:val="00715157"/>
    <w:rsid w:val="00727C01"/>
    <w:rsid w:val="007320AD"/>
    <w:rsid w:val="00733780"/>
    <w:rsid w:val="00753BA1"/>
    <w:rsid w:val="00755F4E"/>
    <w:rsid w:val="0076233B"/>
    <w:rsid w:val="00777AD6"/>
    <w:rsid w:val="00797802"/>
    <w:rsid w:val="007A0C9F"/>
    <w:rsid w:val="007B325D"/>
    <w:rsid w:val="007B3A6E"/>
    <w:rsid w:val="007D694A"/>
    <w:rsid w:val="007E58E2"/>
    <w:rsid w:val="007F197F"/>
    <w:rsid w:val="007F1B3B"/>
    <w:rsid w:val="007F28E7"/>
    <w:rsid w:val="007F54DC"/>
    <w:rsid w:val="0080013E"/>
    <w:rsid w:val="00803B50"/>
    <w:rsid w:val="00803D94"/>
    <w:rsid w:val="00804120"/>
    <w:rsid w:val="008144C3"/>
    <w:rsid w:val="00816E97"/>
    <w:rsid w:val="00820AE5"/>
    <w:rsid w:val="00831864"/>
    <w:rsid w:val="00840744"/>
    <w:rsid w:val="00840A3C"/>
    <w:rsid w:val="0084532E"/>
    <w:rsid w:val="008611E4"/>
    <w:rsid w:val="00862400"/>
    <w:rsid w:val="00873A60"/>
    <w:rsid w:val="00873B2E"/>
    <w:rsid w:val="00880849"/>
    <w:rsid w:val="00881143"/>
    <w:rsid w:val="00881D54"/>
    <w:rsid w:val="00885D9B"/>
    <w:rsid w:val="00895603"/>
    <w:rsid w:val="008959C1"/>
    <w:rsid w:val="00896840"/>
    <w:rsid w:val="00897B1B"/>
    <w:rsid w:val="008A2025"/>
    <w:rsid w:val="008A5969"/>
    <w:rsid w:val="008A5DAB"/>
    <w:rsid w:val="008A7E2F"/>
    <w:rsid w:val="008C5328"/>
    <w:rsid w:val="008D13D2"/>
    <w:rsid w:val="008D47DE"/>
    <w:rsid w:val="008D4FB4"/>
    <w:rsid w:val="008E1956"/>
    <w:rsid w:val="008E32BC"/>
    <w:rsid w:val="008E4F8B"/>
    <w:rsid w:val="008E7897"/>
    <w:rsid w:val="008E78DB"/>
    <w:rsid w:val="00905C44"/>
    <w:rsid w:val="009061CB"/>
    <w:rsid w:val="009064D5"/>
    <w:rsid w:val="009075D3"/>
    <w:rsid w:val="00910A19"/>
    <w:rsid w:val="009251D6"/>
    <w:rsid w:val="00925FF6"/>
    <w:rsid w:val="00931143"/>
    <w:rsid w:val="009412FA"/>
    <w:rsid w:val="009603DE"/>
    <w:rsid w:val="0096308B"/>
    <w:rsid w:val="009665CE"/>
    <w:rsid w:val="009745F5"/>
    <w:rsid w:val="00981B38"/>
    <w:rsid w:val="009919BE"/>
    <w:rsid w:val="00993156"/>
    <w:rsid w:val="00993AAA"/>
    <w:rsid w:val="00997AFF"/>
    <w:rsid w:val="009A05D2"/>
    <w:rsid w:val="009A1F57"/>
    <w:rsid w:val="009A4458"/>
    <w:rsid w:val="009B0376"/>
    <w:rsid w:val="009C639C"/>
    <w:rsid w:val="009C680D"/>
    <w:rsid w:val="009D401F"/>
    <w:rsid w:val="009D7CFA"/>
    <w:rsid w:val="009E40ED"/>
    <w:rsid w:val="009F4035"/>
    <w:rsid w:val="009F79FC"/>
    <w:rsid w:val="009F7F6E"/>
    <w:rsid w:val="00A0022D"/>
    <w:rsid w:val="00A16B1B"/>
    <w:rsid w:val="00A239A6"/>
    <w:rsid w:val="00A2452F"/>
    <w:rsid w:val="00A25A13"/>
    <w:rsid w:val="00A25CCC"/>
    <w:rsid w:val="00A31423"/>
    <w:rsid w:val="00A31D4C"/>
    <w:rsid w:val="00A43178"/>
    <w:rsid w:val="00A451DD"/>
    <w:rsid w:val="00A506BE"/>
    <w:rsid w:val="00A64140"/>
    <w:rsid w:val="00A70833"/>
    <w:rsid w:val="00A9423E"/>
    <w:rsid w:val="00A948F3"/>
    <w:rsid w:val="00AC3E50"/>
    <w:rsid w:val="00AC4D9F"/>
    <w:rsid w:val="00AD0A94"/>
    <w:rsid w:val="00AE07E2"/>
    <w:rsid w:val="00AE0E0E"/>
    <w:rsid w:val="00B30EB8"/>
    <w:rsid w:val="00B57EE0"/>
    <w:rsid w:val="00B65D70"/>
    <w:rsid w:val="00B70EB2"/>
    <w:rsid w:val="00B71704"/>
    <w:rsid w:val="00B857D3"/>
    <w:rsid w:val="00B97804"/>
    <w:rsid w:val="00BA67E2"/>
    <w:rsid w:val="00BB153E"/>
    <w:rsid w:val="00BB46D4"/>
    <w:rsid w:val="00BC1E17"/>
    <w:rsid w:val="00BC331B"/>
    <w:rsid w:val="00BC6C4B"/>
    <w:rsid w:val="00BD650F"/>
    <w:rsid w:val="00BD700B"/>
    <w:rsid w:val="00BE7D5E"/>
    <w:rsid w:val="00C02598"/>
    <w:rsid w:val="00C04214"/>
    <w:rsid w:val="00C0654B"/>
    <w:rsid w:val="00C073DE"/>
    <w:rsid w:val="00C075B0"/>
    <w:rsid w:val="00C10CA4"/>
    <w:rsid w:val="00C159D6"/>
    <w:rsid w:val="00C237AE"/>
    <w:rsid w:val="00C31AA7"/>
    <w:rsid w:val="00C43853"/>
    <w:rsid w:val="00C5379D"/>
    <w:rsid w:val="00C724E3"/>
    <w:rsid w:val="00C7400D"/>
    <w:rsid w:val="00C77172"/>
    <w:rsid w:val="00C8077E"/>
    <w:rsid w:val="00C85019"/>
    <w:rsid w:val="00CA2184"/>
    <w:rsid w:val="00CA236D"/>
    <w:rsid w:val="00CA28B2"/>
    <w:rsid w:val="00CB1E54"/>
    <w:rsid w:val="00CB7950"/>
    <w:rsid w:val="00CC0606"/>
    <w:rsid w:val="00CC6403"/>
    <w:rsid w:val="00CD4B91"/>
    <w:rsid w:val="00CD6986"/>
    <w:rsid w:val="00CD6DEE"/>
    <w:rsid w:val="00CE4EF5"/>
    <w:rsid w:val="00CF3251"/>
    <w:rsid w:val="00D12695"/>
    <w:rsid w:val="00D16DB3"/>
    <w:rsid w:val="00D17565"/>
    <w:rsid w:val="00D2038A"/>
    <w:rsid w:val="00D26946"/>
    <w:rsid w:val="00D26EAE"/>
    <w:rsid w:val="00D340AA"/>
    <w:rsid w:val="00D440CF"/>
    <w:rsid w:val="00D50509"/>
    <w:rsid w:val="00D6670A"/>
    <w:rsid w:val="00D869C9"/>
    <w:rsid w:val="00D87431"/>
    <w:rsid w:val="00D91617"/>
    <w:rsid w:val="00D93C2C"/>
    <w:rsid w:val="00D9730C"/>
    <w:rsid w:val="00DA1CCC"/>
    <w:rsid w:val="00DA4622"/>
    <w:rsid w:val="00DB590B"/>
    <w:rsid w:val="00DB66CC"/>
    <w:rsid w:val="00DC0016"/>
    <w:rsid w:val="00DC135C"/>
    <w:rsid w:val="00DC7070"/>
    <w:rsid w:val="00DD2D08"/>
    <w:rsid w:val="00DD72D1"/>
    <w:rsid w:val="00DE20B8"/>
    <w:rsid w:val="00DE2BA9"/>
    <w:rsid w:val="00DE33AD"/>
    <w:rsid w:val="00DF2E8C"/>
    <w:rsid w:val="00DF5157"/>
    <w:rsid w:val="00DF7342"/>
    <w:rsid w:val="00E3758D"/>
    <w:rsid w:val="00E375BE"/>
    <w:rsid w:val="00E464D2"/>
    <w:rsid w:val="00E51D01"/>
    <w:rsid w:val="00E6018B"/>
    <w:rsid w:val="00E61F66"/>
    <w:rsid w:val="00E6283C"/>
    <w:rsid w:val="00E71486"/>
    <w:rsid w:val="00E73097"/>
    <w:rsid w:val="00E834D6"/>
    <w:rsid w:val="00E8733D"/>
    <w:rsid w:val="00EA2FEC"/>
    <w:rsid w:val="00EA7EB2"/>
    <w:rsid w:val="00EB5121"/>
    <w:rsid w:val="00EC04EF"/>
    <w:rsid w:val="00EC0DE1"/>
    <w:rsid w:val="00EC28B2"/>
    <w:rsid w:val="00EC4F74"/>
    <w:rsid w:val="00ED442C"/>
    <w:rsid w:val="00EE112B"/>
    <w:rsid w:val="00EE62AB"/>
    <w:rsid w:val="00F11E72"/>
    <w:rsid w:val="00F1312E"/>
    <w:rsid w:val="00F211D3"/>
    <w:rsid w:val="00F22505"/>
    <w:rsid w:val="00F25FFC"/>
    <w:rsid w:val="00F402D6"/>
    <w:rsid w:val="00F41D2E"/>
    <w:rsid w:val="00F500E9"/>
    <w:rsid w:val="00F50C4F"/>
    <w:rsid w:val="00F635DD"/>
    <w:rsid w:val="00F64EF2"/>
    <w:rsid w:val="00F652CA"/>
    <w:rsid w:val="00F8332E"/>
    <w:rsid w:val="00F91262"/>
    <w:rsid w:val="00F95AFC"/>
    <w:rsid w:val="00FA4679"/>
    <w:rsid w:val="00FB2F3D"/>
    <w:rsid w:val="00FB5180"/>
    <w:rsid w:val="00FB6A29"/>
    <w:rsid w:val="00FC183C"/>
    <w:rsid w:val="00FC41FB"/>
    <w:rsid w:val="00FC50B2"/>
    <w:rsid w:val="00FD70FD"/>
    <w:rsid w:val="00FE19C5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7E296"/>
  <w15:docId w15:val="{D1B10943-55D6-424D-88A2-3DFE414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57"/>
    <w:pPr>
      <w:ind w:left="720"/>
      <w:contextualSpacing/>
    </w:pPr>
  </w:style>
  <w:style w:type="paragraph" w:customStyle="1" w:styleId="tekst">
    <w:name w:val="tekst"/>
    <w:basedOn w:val="Normalny"/>
    <w:rsid w:val="00532AAA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532AA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532AAA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val="en-GB" w:eastAsia="zh-CN"/>
    </w:rPr>
  </w:style>
  <w:style w:type="character" w:styleId="Odwoanieprzypisudolnego">
    <w:name w:val="footnote reference"/>
    <w:basedOn w:val="Domylnaczcionkaakapitu"/>
    <w:uiPriority w:val="99"/>
    <w:rsid w:val="00532A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0715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7159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1599"/>
    <w:rPr>
      <w:rFonts w:eastAsia="Times New Roman" w:cs="Times New Roman"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C1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C1E17"/>
    <w:rPr>
      <w:rFonts w:ascii="Calibri" w:hAnsi="Calibri" w:cs="Times New Roman"/>
      <w:lang w:val="pl-PL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2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18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880849"/>
  </w:style>
  <w:style w:type="character" w:styleId="Pogrubienie">
    <w:name w:val="Strong"/>
    <w:basedOn w:val="Domylnaczcionkaakapitu"/>
    <w:uiPriority w:val="22"/>
    <w:qFormat/>
    <w:locked/>
    <w:rsid w:val="008808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0849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AC4D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AC4D9F"/>
    <w:rPr>
      <w:rFonts w:ascii="Times" w:eastAsiaTheme="minorEastAsia" w:hAnsi="Times" w:cs="Arial"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5"/>
    <w:qFormat/>
    <w:rsid w:val="00AC4D9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C4D9F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basedOn w:val="Normalny"/>
    <w:link w:val="PKTpunktZnak"/>
    <w:uiPriority w:val="16"/>
    <w:qFormat/>
    <w:rsid w:val="00AC4D9F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AC4D9F"/>
    <w:rPr>
      <w:rFonts w:ascii="Times" w:eastAsiaTheme="minorEastAsia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AC4D9F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C4D9F"/>
    <w:rPr>
      <w:bCs/>
    </w:rPr>
  </w:style>
  <w:style w:type="character" w:customStyle="1" w:styleId="FontStyle61">
    <w:name w:val="Font Style61"/>
    <w:basedOn w:val="Domylnaczcionkaakapitu"/>
    <w:uiPriority w:val="99"/>
    <w:rsid w:val="00EC28B2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EC28B2"/>
    <w:rPr>
      <w:i/>
      <w:iCs/>
    </w:rPr>
  </w:style>
  <w:style w:type="paragraph" w:customStyle="1" w:styleId="Style31">
    <w:name w:val="Style31"/>
    <w:basedOn w:val="Normalny"/>
    <w:uiPriority w:val="99"/>
    <w:rsid w:val="005C620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2A3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0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0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070"/>
    <w:rPr>
      <w:vertAlign w:val="superscript"/>
    </w:rPr>
  </w:style>
  <w:style w:type="paragraph" w:customStyle="1" w:styleId="tekstjed">
    <w:name w:val="tekst_jed"/>
    <w:qFormat/>
    <w:rsid w:val="00993156"/>
    <w:pPr>
      <w:spacing w:before="60" w:after="60"/>
      <w:jc w:val="both"/>
      <w:outlineLvl w:val="2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13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932930982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169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538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1437021934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6B55F-43C9-4F9B-B3FA-3103046D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Kaziemierz</dc:creator>
  <cp:lastModifiedBy>Małgorzata K. Nowak</cp:lastModifiedBy>
  <cp:revision>3</cp:revision>
  <cp:lastPrinted>2012-10-02T17:08:00Z</cp:lastPrinted>
  <dcterms:created xsi:type="dcterms:W3CDTF">2024-05-06T09:46:00Z</dcterms:created>
  <dcterms:modified xsi:type="dcterms:W3CDTF">2024-05-09T11:18:00Z</dcterms:modified>
</cp:coreProperties>
</file>